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Play" w:cs="Play" w:eastAsia="Play" w:hAnsi="Play"/>
          <w:b w:val="1"/>
          <w:bCs w:val="1"/>
          <w:sz w:val="32"/>
          <w:szCs w:val="32"/>
        </w:rPr>
      </w:pPr>
      <w:r w:rsidDel="00000000" w:rsidR="00000000" w:rsidRPr="00000000">
        <w:rPr>
          <w:rFonts w:ascii="Play" w:cs="Play" w:eastAsia="Play" w:hAnsi="Play"/>
          <w:b w:val="1"/>
          <w:bCs w:val="1"/>
          <w:sz w:val="32"/>
          <w:szCs w:val="32"/>
          <w:rtl w:val="0"/>
        </w:rPr>
        <w:t xml:space="preserve">1</w:t>
      </w:r>
      <w:r w:rsidDel="00000000" w:rsidR="00000000" w:rsidRPr="00000000">
        <w:rPr>
          <w:rFonts w:ascii="Play" w:cs="Play" w:eastAsia="Play" w:hAnsi="Play"/>
          <w:b w:val="1"/>
          <w:bCs w:val="1"/>
          <w:sz w:val="32"/>
          <w:szCs w:val="32"/>
          <w:vertAlign w:val="superscript"/>
          <w:rtl w:val="0"/>
        </w:rPr>
        <w:t xml:space="preserve">st</w:t>
      </w:r>
      <w:r w:rsidDel="00000000" w:rsidR="00000000" w:rsidRPr="00000000">
        <w:rPr>
          <w:rFonts w:ascii="Play" w:cs="Play" w:eastAsia="Play" w:hAnsi="Play"/>
          <w:b w:val="1"/>
          <w:bCs w:val="1"/>
          <w:sz w:val="32"/>
          <w:szCs w:val="32"/>
          <w:rtl w:val="0"/>
        </w:rPr>
        <w:t xml:space="preserve"> Topsham Scout Group Attendance Policy</w:t>
      </w:r>
    </w:p>
    <w:p w:rsidR="00000000" w:rsidDel="00000000" w:rsidP="00000000" w:rsidRDefault="00000000" w:rsidRPr="00000000" w14:paraId="00000002">
      <w:pPr>
        <w:rPr>
          <w:b w:val="1"/>
          <w:bCs w:val="1"/>
          <w:sz w:val="28"/>
          <w:szCs w:val="28"/>
        </w:rPr>
      </w:pPr>
      <w:r w:rsidDel="00000000" w:rsidR="00000000" w:rsidRPr="00000000">
        <w:rPr>
          <w:b w:val="1"/>
          <w:bCs w:val="1"/>
          <w:sz w:val="28"/>
          <w:szCs w:val="28"/>
          <w:rtl w:val="0"/>
        </w:rPr>
        <w:t xml:space="preserve">1. The Value of Attendance</w:t>
      </w:r>
    </w:p>
    <w:p w:rsidR="00000000" w:rsidDel="00000000" w:rsidP="00000000" w:rsidRDefault="00000000" w:rsidRPr="00000000" w14:paraId="00000003">
      <w:pPr>
        <w:rPr>
          <w:sz w:val="28"/>
          <w:szCs w:val="28"/>
        </w:rPr>
      </w:pPr>
      <w:r w:rsidDel="00000000" w:rsidR="00000000" w:rsidRPr="00000000">
        <w:rPr>
          <w:sz w:val="28"/>
          <w:szCs w:val="28"/>
          <w:rtl w:val="0"/>
        </w:rPr>
        <w:t xml:space="preserve">Scouting is a progressive award scheme. To get the most out of the program, earn badges, and build strong friendships, regular attendance is essential. Every space in our group is funded by the hard work of volunteers and is in high demand; therefore, we expect a commitment to attend weekly meetings.</w:t>
      </w:r>
    </w:p>
    <w:p w:rsidR="00000000" w:rsidDel="00000000" w:rsidP="00000000" w:rsidRDefault="00000000" w:rsidRPr="00000000" w14:paraId="00000004">
      <w:pPr>
        <w:rPr>
          <w:b w:val="1"/>
          <w:bCs w:val="1"/>
          <w:sz w:val="28"/>
          <w:szCs w:val="28"/>
        </w:rPr>
      </w:pPr>
      <w:r w:rsidDel="00000000" w:rsidR="00000000" w:rsidRPr="00000000">
        <w:rPr>
          <w:b w:val="1"/>
          <w:bCs w:val="1"/>
          <w:sz w:val="28"/>
          <w:szCs w:val="28"/>
          <w:rtl w:val="0"/>
        </w:rPr>
        <w:t xml:space="preserve">2. Reporting an Absence</w:t>
      </w:r>
    </w:p>
    <w:p w:rsidR="00000000" w:rsidDel="00000000" w:rsidP="00000000" w:rsidRDefault="00000000" w:rsidRPr="00000000" w14:paraId="00000005">
      <w:pPr>
        <w:rPr>
          <w:sz w:val="28"/>
          <w:szCs w:val="28"/>
        </w:rPr>
      </w:pPr>
      <w:r w:rsidDel="00000000" w:rsidR="00000000" w:rsidRPr="00000000">
        <w:rPr>
          <w:sz w:val="28"/>
          <w:szCs w:val="28"/>
          <w:rtl w:val="0"/>
        </w:rPr>
        <w:t xml:space="preserve">We understand that illness, school events, and family commitments happen. If a young person cannot attend a session, parents/guardians must notify the Section Leader before the start of the meeting.</w:t>
      </w:r>
    </w:p>
    <w:tbl>
      <w:tblPr>
        <w:tblStyle w:val="Table1"/>
        <w:tblW w:w="9010.0" w:type="dxa"/>
        <w:jc w:val="left"/>
        <w:tblLayout w:type="fixed"/>
        <w:tblLook w:val="0400"/>
      </w:tblPr>
      <w:tblGrid>
        <w:gridCol w:w="2252"/>
        <w:gridCol w:w="6758"/>
        <w:tblGridChange w:id="0">
          <w:tblGrid>
            <w:gridCol w:w="2252"/>
            <w:gridCol w:w="6758"/>
          </w:tblGrid>
        </w:tblGridChange>
      </w:tblGrid>
      <w:tr>
        <w:trPr>
          <w:cantSplit w:val="0"/>
          <w:tblHeader w:val="1"/>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6">
            <w:pPr>
              <w:rPr>
                <w:b w:val="1"/>
                <w:bCs w:val="1"/>
                <w:sz w:val="28"/>
                <w:szCs w:val="28"/>
              </w:rPr>
            </w:pPr>
            <w:r w:rsidDel="00000000" w:rsidR="00000000" w:rsidRPr="00000000">
              <w:rPr>
                <w:b w:val="1"/>
                <w:bCs w:val="1"/>
                <w:sz w:val="28"/>
                <w:szCs w:val="28"/>
                <w:rtl w:val="0"/>
              </w:rPr>
              <w:t xml:space="preserve">Method</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7">
            <w:pPr>
              <w:rPr>
                <w:b w:val="1"/>
                <w:bCs w:val="1"/>
                <w:sz w:val="28"/>
                <w:szCs w:val="28"/>
              </w:rPr>
            </w:pPr>
            <w:r w:rsidDel="00000000" w:rsidR="00000000" w:rsidRPr="00000000">
              <w:rPr>
                <w:b w:val="1"/>
                <w:bCs w:val="1"/>
                <w:sz w:val="28"/>
                <w:szCs w:val="28"/>
                <w:rtl w:val="0"/>
              </w:rPr>
              <w:t xml:space="preserve">Contact Detail</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8">
            <w:pPr>
              <w:rPr>
                <w:sz w:val="28"/>
                <w:szCs w:val="28"/>
              </w:rPr>
            </w:pPr>
            <w:r w:rsidDel="00000000" w:rsidR="00000000" w:rsidRPr="00000000">
              <w:rPr>
                <w:sz w:val="28"/>
                <w:szCs w:val="28"/>
                <w:rtl w:val="0"/>
              </w:rPr>
              <w:t xml:space="preserve">Primary Method</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9">
            <w:pPr>
              <w:rPr>
                <w:sz w:val="28"/>
                <w:szCs w:val="28"/>
              </w:rPr>
            </w:pPr>
            <w:r w:rsidDel="00000000" w:rsidR="00000000" w:rsidRPr="00000000">
              <w:rPr>
                <w:sz w:val="28"/>
                <w:szCs w:val="28"/>
                <w:rtl w:val="0"/>
              </w:rPr>
              <w:t xml:space="preserve">[e.g., Marking "Not Attending" on Online Scout Manager (OSM)]</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A">
            <w:pPr>
              <w:rPr>
                <w:sz w:val="28"/>
                <w:szCs w:val="28"/>
              </w:rPr>
            </w:pPr>
            <w:r w:rsidDel="00000000" w:rsidR="00000000" w:rsidRPr="00000000">
              <w:rPr>
                <w:sz w:val="28"/>
                <w:szCs w:val="28"/>
                <w:rtl w:val="0"/>
              </w:rPr>
              <w:t xml:space="preserve">Secondary Method</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B">
            <w:pPr>
              <w:rPr>
                <w:sz w:val="28"/>
                <w:szCs w:val="28"/>
              </w:rPr>
            </w:pPr>
            <w:r w:rsidDel="00000000" w:rsidR="00000000" w:rsidRPr="00000000">
              <w:rPr>
                <w:sz w:val="28"/>
                <w:szCs w:val="28"/>
                <w:rtl w:val="0"/>
              </w:rPr>
              <w:t xml:space="preserve">[e.g., Section WhatsApp Group or Email]</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C">
            <w:pPr>
              <w:rPr>
                <w:sz w:val="28"/>
                <w:szCs w:val="28"/>
              </w:rPr>
            </w:pPr>
            <w:r w:rsidDel="00000000" w:rsidR="00000000" w:rsidRPr="00000000">
              <w:rPr>
                <w:sz w:val="28"/>
                <w:szCs w:val="28"/>
                <w:rtl w:val="0"/>
              </w:rPr>
              <w:t xml:space="preserve">Emergency</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D">
            <w:pPr>
              <w:rPr>
                <w:sz w:val="28"/>
                <w:szCs w:val="28"/>
              </w:rPr>
            </w:pPr>
            <w:r w:rsidDel="00000000" w:rsidR="00000000" w:rsidRPr="00000000">
              <w:rPr>
                <w:sz w:val="28"/>
                <w:szCs w:val="28"/>
                <w:rtl w:val="0"/>
              </w:rPr>
              <w:t xml:space="preserve">[e.g., Texting the Section Leader’s mobile number]</w:t>
            </w:r>
          </w:p>
        </w:tc>
      </w:tr>
    </w:tbl>
    <w:p w:rsidR="00000000" w:rsidDel="00000000" w:rsidP="00000000" w:rsidRDefault="00000000" w:rsidRPr="00000000" w14:paraId="0000000E">
      <w:pPr>
        <w:rPr>
          <w:b w:val="1"/>
          <w:bCs w:val="1"/>
          <w:sz w:val="28"/>
          <w:szCs w:val="28"/>
        </w:rPr>
      </w:pPr>
      <w:r w:rsidDel="00000000" w:rsidR="00000000" w:rsidRPr="00000000">
        <w:rPr>
          <w:rtl w:val="0"/>
        </w:rPr>
      </w:r>
    </w:p>
    <w:p w:rsidR="00000000" w:rsidDel="00000000" w:rsidP="00000000" w:rsidRDefault="00000000" w:rsidRPr="00000000" w14:paraId="0000000F">
      <w:pPr>
        <w:rPr>
          <w:b w:val="1"/>
          <w:bCs w:val="1"/>
          <w:sz w:val="28"/>
          <w:szCs w:val="28"/>
        </w:rPr>
      </w:pPr>
      <w:r w:rsidDel="00000000" w:rsidR="00000000" w:rsidRPr="00000000">
        <w:rPr>
          <w:b w:val="1"/>
          <w:bCs w:val="1"/>
          <w:sz w:val="28"/>
          <w:szCs w:val="28"/>
          <w:rtl w:val="0"/>
        </w:rPr>
        <w:t xml:space="preserve">3. The "Three-Week" Rule (Inactive Membership)</w:t>
      </w:r>
    </w:p>
    <w:p w:rsidR="00000000" w:rsidDel="00000000" w:rsidP="00000000" w:rsidRDefault="00000000" w:rsidRPr="00000000" w14:paraId="00000010">
      <w:pPr>
        <w:rPr>
          <w:sz w:val="28"/>
          <w:szCs w:val="28"/>
        </w:rPr>
      </w:pPr>
      <w:r w:rsidDel="00000000" w:rsidR="00000000" w:rsidRPr="00000000">
        <w:rPr>
          <w:sz w:val="28"/>
          <w:szCs w:val="28"/>
          <w:rtl w:val="0"/>
        </w:rPr>
        <w:t xml:space="preserve">To be fair to the children on our waiting list, we operate a strict Three-Week Rule:</w:t>
      </w:r>
    </w:p>
    <w:p w:rsidR="00000000" w:rsidDel="00000000" w:rsidP="00000000" w:rsidRDefault="00000000" w:rsidRPr="00000000" w14:paraId="00000011">
      <w:pPr>
        <w:numPr>
          <w:ilvl w:val="0"/>
          <w:numId w:val="1"/>
        </w:numPr>
        <w:ind w:left="720" w:hanging="360"/>
        <w:rPr>
          <w:sz w:val="28"/>
          <w:szCs w:val="28"/>
        </w:rPr>
      </w:pPr>
      <w:r w:rsidDel="00000000" w:rsidR="00000000" w:rsidRPr="00000000">
        <w:rPr>
          <w:sz w:val="28"/>
          <w:szCs w:val="28"/>
          <w:rtl w:val="0"/>
        </w:rPr>
        <w:t xml:space="preserve">Unexplained Absence: If a young person misses three consecutive weeks of meetings without any communication from the parent/guardian, we will assume they no longer wish to be a member.</w:t>
      </w:r>
    </w:p>
    <w:p w:rsidR="00000000" w:rsidDel="00000000" w:rsidP="00000000" w:rsidRDefault="00000000" w:rsidRPr="00000000" w14:paraId="00000012">
      <w:pPr>
        <w:numPr>
          <w:ilvl w:val="0"/>
          <w:numId w:val="1"/>
        </w:numPr>
        <w:ind w:left="720" w:hanging="360"/>
        <w:rPr>
          <w:sz w:val="28"/>
          <w:szCs w:val="28"/>
        </w:rPr>
      </w:pPr>
      <w:r w:rsidDel="00000000" w:rsidR="00000000" w:rsidRPr="00000000">
        <w:rPr>
          <w:sz w:val="28"/>
          <w:szCs w:val="28"/>
          <w:rtl w:val="0"/>
        </w:rPr>
        <w:t xml:space="preserve">Notification: We will send a "check-in" email or message after the second week. Every effort will be made to contact the parent/carer.</w:t>
      </w:r>
    </w:p>
    <w:p w:rsidR="00000000" w:rsidDel="00000000" w:rsidP="00000000" w:rsidRDefault="00000000" w:rsidRPr="00000000" w14:paraId="00000013">
      <w:pPr>
        <w:numPr>
          <w:ilvl w:val="0"/>
          <w:numId w:val="1"/>
        </w:numPr>
        <w:ind w:left="720" w:hanging="360"/>
        <w:rPr>
          <w:sz w:val="28"/>
          <w:szCs w:val="28"/>
        </w:rPr>
      </w:pPr>
      <w:r w:rsidDel="00000000" w:rsidR="00000000" w:rsidRPr="00000000">
        <w:rPr>
          <w:sz w:val="28"/>
          <w:szCs w:val="28"/>
          <w:rtl w:val="0"/>
        </w:rPr>
        <w:t xml:space="preserve">Loss of Place:</w:t>
      </w:r>
      <w:r w:rsidDel="00000000" w:rsidR="00000000" w:rsidRPr="00000000">
        <w:rPr>
          <w:rFonts w:ascii="Arial" w:cs="Arial" w:eastAsia="Arial" w:hAnsi="Arial"/>
          <w:sz w:val="28"/>
          <w:szCs w:val="28"/>
          <w:highlight w:val="white"/>
          <w:rtl w:val="0"/>
        </w:rPr>
        <w:t xml:space="preserve">If no response is received by the third week, we will send one "Loss of Place notification" email and/or message warning that the young person’s place will be offered to a child on the waiting list unless they respond within 7 days to confirm when they will be able to attend. After this period the young person will be moved to "Inactive" status and their place will be offered to the next child on the waiting list.</w:t>
      </w:r>
      <w:r w:rsidDel="00000000" w:rsidR="00000000" w:rsidRPr="00000000">
        <w:rPr>
          <w:rtl w:val="0"/>
        </w:rPr>
      </w:r>
    </w:p>
    <w:p w:rsidR="00000000" w:rsidDel="00000000" w:rsidP="00000000" w:rsidRDefault="00000000" w:rsidRPr="00000000" w14:paraId="00000014">
      <w:pPr>
        <w:rPr>
          <w:b w:val="1"/>
          <w:bCs w:val="1"/>
          <w:sz w:val="28"/>
          <w:szCs w:val="28"/>
        </w:rPr>
      </w:pPr>
      <w:r w:rsidDel="00000000" w:rsidR="00000000" w:rsidRPr="00000000">
        <w:rPr>
          <w:b w:val="1"/>
          <w:bCs w:val="1"/>
          <w:sz w:val="28"/>
          <w:szCs w:val="28"/>
          <w:rtl w:val="0"/>
        </w:rPr>
        <w:t xml:space="preserve">4. Long-Term Absence</w:t>
      </w:r>
    </w:p>
    <w:p w:rsidR="00000000" w:rsidDel="00000000" w:rsidP="00000000" w:rsidRDefault="00000000" w:rsidRPr="00000000" w14:paraId="00000015">
      <w:pPr>
        <w:rPr>
          <w:sz w:val="28"/>
          <w:szCs w:val="28"/>
        </w:rPr>
      </w:pPr>
      <w:r w:rsidDel="00000000" w:rsidR="00000000" w:rsidRPr="00000000">
        <w:rPr>
          <w:sz w:val="28"/>
          <w:szCs w:val="28"/>
          <w:rtl w:val="0"/>
        </w:rPr>
        <w:t xml:space="preserve">If a young person needs to take a break due to a long-term illness, injury, or complex family circumstances, please speak to the Group Lead Volunteer (GLV). We will always do our best to hold a place open in genuine cases of hardship or medical necessity.</w:t>
      </w:r>
    </w:p>
    <w:p w:rsidR="00000000" w:rsidDel="00000000" w:rsidP="00000000" w:rsidRDefault="00000000" w:rsidRPr="00000000" w14:paraId="00000016">
      <w:pPr>
        <w:rPr>
          <w:sz w:val="28"/>
          <w:szCs w:val="28"/>
        </w:rPr>
      </w:pPr>
      <w:r w:rsidDel="00000000" w:rsidR="00000000" w:rsidRPr="00000000">
        <w:rPr>
          <w:sz w:val="28"/>
          <w:szCs w:val="28"/>
          <w:rtl w:val="0"/>
        </w:rPr>
        <w:t xml:space="preserve">5. Fees (Subscriptions) and Attendance</w:t>
      </w:r>
    </w:p>
    <w:p w:rsidR="00000000" w:rsidDel="00000000" w:rsidP="00000000" w:rsidRDefault="00000000" w:rsidRPr="00000000" w14:paraId="00000017">
      <w:pPr>
        <w:numPr>
          <w:ilvl w:val="0"/>
          <w:numId w:val="2"/>
        </w:numPr>
        <w:ind w:left="720" w:hanging="360"/>
        <w:rPr>
          <w:sz w:val="28"/>
          <w:szCs w:val="28"/>
        </w:rPr>
      </w:pPr>
      <w:r w:rsidDel="00000000" w:rsidR="00000000" w:rsidRPr="00000000">
        <w:rPr>
          <w:sz w:val="28"/>
          <w:szCs w:val="28"/>
          <w:rtl w:val="0"/>
        </w:rPr>
        <w:t xml:space="preserve">Subscriptions pay for the "place," not the attendance.</w:t>
      </w:r>
    </w:p>
    <w:p w:rsidR="00000000" w:rsidDel="00000000" w:rsidP="00000000" w:rsidRDefault="00000000" w:rsidRPr="00000000" w14:paraId="00000018">
      <w:pPr>
        <w:numPr>
          <w:ilvl w:val="0"/>
          <w:numId w:val="2"/>
        </w:numPr>
        <w:ind w:left="720" w:hanging="360"/>
        <w:rPr>
          <w:sz w:val="28"/>
          <w:szCs w:val="28"/>
        </w:rPr>
      </w:pPr>
      <w:r w:rsidDel="00000000" w:rsidR="00000000" w:rsidRPr="00000000">
        <w:rPr>
          <w:sz w:val="28"/>
          <w:szCs w:val="28"/>
          <w:rtl w:val="0"/>
        </w:rPr>
        <w:t xml:space="preserve">Subs must be paid in full even if a member misses sessions due to illness or holidays.</w:t>
      </w:r>
    </w:p>
    <w:p w:rsidR="00000000" w:rsidDel="00000000" w:rsidP="00000000" w:rsidRDefault="00000000" w:rsidRPr="00000000" w14:paraId="00000019">
      <w:pPr>
        <w:numPr>
          <w:ilvl w:val="0"/>
          <w:numId w:val="2"/>
        </w:numPr>
        <w:ind w:left="720" w:hanging="360"/>
        <w:rPr>
          <w:sz w:val="28"/>
          <w:szCs w:val="28"/>
        </w:rPr>
      </w:pPr>
      <w:r w:rsidDel="00000000" w:rsidR="00000000" w:rsidRPr="00000000">
        <w:rPr>
          <w:sz w:val="28"/>
          <w:szCs w:val="28"/>
          <w:rtl w:val="0"/>
        </w:rPr>
        <w:t xml:space="preserve">This ensures the group can continue to pay for fixed costs like insurance, venue hire, and equipment.</w:t>
      </w:r>
    </w:p>
    <w:p w:rsidR="00000000" w:rsidDel="00000000" w:rsidP="00000000" w:rsidRDefault="00000000" w:rsidRPr="00000000" w14:paraId="0000001A">
      <w:pPr>
        <w:rPr>
          <w:b w:val="1"/>
          <w:bCs w:val="1"/>
          <w:sz w:val="28"/>
          <w:szCs w:val="28"/>
        </w:rPr>
      </w:pPr>
      <w:r w:rsidDel="00000000" w:rsidR="00000000" w:rsidRPr="00000000">
        <w:rPr>
          <w:b w:val="1"/>
          <w:bCs w:val="1"/>
          <w:sz w:val="28"/>
          <w:szCs w:val="28"/>
          <w:rtl w:val="0"/>
        </w:rPr>
        <w:t xml:space="preserve">6. Punctuality</w:t>
      </w:r>
    </w:p>
    <w:p w:rsidR="00000000" w:rsidDel="00000000" w:rsidP="00000000" w:rsidRDefault="00000000" w:rsidRPr="00000000" w14:paraId="0000001B">
      <w:pPr>
        <w:rPr>
          <w:sz w:val="28"/>
          <w:szCs w:val="28"/>
        </w:rPr>
      </w:pPr>
      <w:r w:rsidDel="00000000" w:rsidR="00000000" w:rsidRPr="00000000">
        <w:rPr>
          <w:sz w:val="28"/>
          <w:szCs w:val="28"/>
          <w:rtl w:val="0"/>
        </w:rPr>
        <w:t xml:space="preserve">Leaders are volunteers who often rush from work to start meetings. We ask that:</w:t>
      </w:r>
    </w:p>
    <w:p w:rsidR="00000000" w:rsidDel="00000000" w:rsidP="00000000" w:rsidRDefault="00000000" w:rsidRPr="00000000" w14:paraId="0000001C">
      <w:pPr>
        <w:numPr>
          <w:ilvl w:val="0"/>
          <w:numId w:val="3"/>
        </w:numPr>
        <w:ind w:left="720" w:hanging="360"/>
        <w:rPr>
          <w:sz w:val="28"/>
          <w:szCs w:val="28"/>
        </w:rPr>
      </w:pPr>
      <w:r w:rsidDel="00000000" w:rsidR="00000000" w:rsidRPr="00000000">
        <w:rPr>
          <w:sz w:val="28"/>
          <w:szCs w:val="28"/>
          <w:rtl w:val="0"/>
        </w:rPr>
        <w:t xml:space="preserve">Young people arrive 5 minutes before the start time.</w:t>
      </w:r>
    </w:p>
    <w:p w:rsidR="00000000" w:rsidDel="00000000" w:rsidP="00000000" w:rsidRDefault="00000000" w:rsidRPr="00000000" w14:paraId="0000001D">
      <w:pPr>
        <w:numPr>
          <w:ilvl w:val="0"/>
          <w:numId w:val="3"/>
        </w:numPr>
        <w:ind w:left="720" w:hanging="360"/>
        <w:rPr>
          <w:sz w:val="28"/>
          <w:szCs w:val="28"/>
        </w:rPr>
      </w:pPr>
      <w:r w:rsidDel="00000000" w:rsidR="00000000" w:rsidRPr="00000000">
        <w:rPr>
          <w:sz w:val="28"/>
          <w:szCs w:val="28"/>
          <w:rtl w:val="0"/>
        </w:rPr>
        <w:t xml:space="preserve">Parents are ready to collect promptly at the end of the session.</w:t>
      </w:r>
    </w:p>
    <w:p w:rsidR="00000000" w:rsidDel="00000000" w:rsidP="00000000" w:rsidRDefault="00000000" w:rsidRPr="00000000" w14:paraId="0000001E">
      <w:pPr>
        <w:numPr>
          <w:ilvl w:val="0"/>
          <w:numId w:val="3"/>
        </w:numPr>
        <w:ind w:left="720" w:hanging="360"/>
        <w:rPr>
          <w:sz w:val="28"/>
          <w:szCs w:val="28"/>
        </w:rPr>
      </w:pPr>
      <w:r w:rsidDel="00000000" w:rsidR="00000000" w:rsidRPr="00000000">
        <w:rPr>
          <w:i w:val="1"/>
          <w:iCs w:val="1"/>
          <w:sz w:val="28"/>
          <w:szCs w:val="28"/>
          <w:rtl w:val="0"/>
        </w:rPr>
        <w:t xml:space="preserve">Note: Persistent lateness in collection may result in a formal discussion with the Group Lead Volunteer, as it impacts the leaders' own personal commitments.</w:t>
      </w:r>
      <w:r w:rsidDel="00000000" w:rsidR="00000000" w:rsidRPr="00000000">
        <w:rPr>
          <w:rtl w:val="0"/>
        </w:rPr>
      </w:r>
    </w:p>
    <w:p w:rsidR="00000000" w:rsidDel="00000000" w:rsidP="00000000" w:rsidRDefault="00000000" w:rsidRPr="00000000" w14:paraId="0000001F">
      <w:pPr>
        <w:rPr>
          <w:b w:val="1"/>
          <w:bCs w:val="1"/>
          <w:sz w:val="28"/>
          <w:szCs w:val="28"/>
        </w:rPr>
      </w:pPr>
      <w:r w:rsidDel="00000000" w:rsidR="00000000" w:rsidRPr="00000000">
        <w:rPr>
          <w:b w:val="1"/>
          <w:bCs w:val="1"/>
          <w:sz w:val="28"/>
          <w:szCs w:val="28"/>
          <w:rtl w:val="0"/>
        </w:rPr>
        <w:t xml:space="preserve">7. Attendance at Special Events (Camps &amp; Trips)</w:t>
      </w:r>
    </w:p>
    <w:p w:rsidR="00000000" w:rsidDel="00000000" w:rsidP="00000000" w:rsidRDefault="00000000" w:rsidRPr="00000000" w14:paraId="00000020">
      <w:pPr>
        <w:rPr>
          <w:sz w:val="28"/>
          <w:szCs w:val="28"/>
        </w:rPr>
      </w:pPr>
      <w:r w:rsidDel="00000000" w:rsidR="00000000" w:rsidRPr="00000000">
        <w:rPr>
          <w:sz w:val="28"/>
          <w:szCs w:val="28"/>
          <w:rtl w:val="0"/>
        </w:rPr>
        <w:t xml:space="preserve">For high-demand events like summer camps or international trips, a separate deposit and payment schedule will apply.</w:t>
      </w:r>
    </w:p>
    <w:p w:rsidR="00000000" w:rsidDel="00000000" w:rsidP="00000000" w:rsidRDefault="00000000" w:rsidRPr="00000000" w14:paraId="00000021">
      <w:pPr>
        <w:numPr>
          <w:ilvl w:val="0"/>
          <w:numId w:val="4"/>
        </w:numPr>
        <w:ind w:left="720" w:hanging="360"/>
        <w:rPr>
          <w:sz w:val="28"/>
          <w:szCs w:val="28"/>
        </w:rPr>
      </w:pPr>
      <w:r w:rsidDel="00000000" w:rsidR="00000000" w:rsidRPr="00000000">
        <w:rPr>
          <w:sz w:val="28"/>
          <w:szCs w:val="28"/>
          <w:rtl w:val="0"/>
        </w:rPr>
        <w:t xml:space="preserve">If a young person has a poor attendance record at weekly meetings (below 50%), the Section Leader reserves the right to discuss whether the young person is "Scout Fit" for a high-intensity residential event.</w:t>
      </w:r>
    </w:p>
    <w:p w:rsidR="00000000" w:rsidDel="00000000" w:rsidP="00000000" w:rsidRDefault="00000000" w:rsidRPr="00000000" w14:paraId="00000022">
      <w:pPr>
        <w:rPr>
          <w:sz w:val="28"/>
          <w:szCs w:val="28"/>
        </w:rPr>
      </w:pPr>
      <w:r w:rsidDel="00000000" w:rsidR="00000000" w:rsidRPr="00000000">
        <w:rPr>
          <w:sz w:val="28"/>
          <w:szCs w:val="28"/>
          <w:rtl w:val="0"/>
        </w:rPr>
        <w:t xml:space="preserve">Dated June 2026</w:t>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4825706</wp:posOffset>
          </wp:positionH>
          <wp:positionV relativeFrom="paragraph">
            <wp:posOffset>-311847</wp:posOffset>
          </wp:positionV>
          <wp:extent cx="1614681" cy="669954"/>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14681" cy="669954"/>
                  </a:xfrm>
                  <a:prstGeom prst="rect"/>
                  <a:ln/>
                </pic:spPr>
              </pic:pic>
            </a:graphicData>
          </a:graphic>
        </wp:anchor>
      </w:drawing>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pqwi+odSz1bU0RVoHTM3dYv6JQ==">CgMxLjA4AHIhMW0wUWMzOWRLQmprcmp4dWtvcmplTEJ2WUpLaEI4MVc1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